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CA" w:rsidRDefault="00F02FC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02FCA" w:rsidRDefault="00F02FCA">
      <w:pPr>
        <w:pStyle w:val="ConsPlusNormal"/>
        <w:jc w:val="both"/>
        <w:outlineLvl w:val="0"/>
      </w:pPr>
    </w:p>
    <w:p w:rsidR="00F02FCA" w:rsidRDefault="00F02FCA">
      <w:pPr>
        <w:pStyle w:val="ConsPlusNormal"/>
        <w:outlineLvl w:val="0"/>
      </w:pPr>
      <w:r>
        <w:t>Зарегистрировано в Минюсте России 30 августа 2021 г. N 64798</w:t>
      </w:r>
    </w:p>
    <w:p w:rsidR="00F02FCA" w:rsidRDefault="00F02F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Title"/>
        <w:jc w:val="center"/>
      </w:pPr>
      <w:r>
        <w:t>МИНИСТЕРСТВО ПРОСВЕЩЕНИЯ РОССИЙСКОЙ ФЕДЕРАЦИИ</w:t>
      </w:r>
    </w:p>
    <w:p w:rsidR="00F02FCA" w:rsidRDefault="00F02FCA">
      <w:pPr>
        <w:pStyle w:val="ConsPlusTitle"/>
        <w:jc w:val="center"/>
      </w:pPr>
    </w:p>
    <w:p w:rsidR="00F02FCA" w:rsidRDefault="00F02FCA">
      <w:pPr>
        <w:pStyle w:val="ConsPlusTitle"/>
        <w:jc w:val="center"/>
      </w:pPr>
      <w:r>
        <w:t>ПРИКАЗ</w:t>
      </w:r>
    </w:p>
    <w:p w:rsidR="00F02FCA" w:rsidRDefault="00F02FCA">
      <w:pPr>
        <w:pStyle w:val="ConsPlusTitle"/>
        <w:jc w:val="center"/>
      </w:pPr>
      <w:r>
        <w:t>от 1 июля 2021 г. N 400</w:t>
      </w:r>
    </w:p>
    <w:p w:rsidR="00F02FCA" w:rsidRDefault="00F02FCA">
      <w:pPr>
        <w:pStyle w:val="ConsPlusTitle"/>
        <w:jc w:val="center"/>
      </w:pPr>
    </w:p>
    <w:p w:rsidR="00F02FCA" w:rsidRDefault="00F02FCA">
      <w:pPr>
        <w:pStyle w:val="ConsPlusTitle"/>
        <w:jc w:val="center"/>
      </w:pPr>
      <w:r>
        <w:t>О ВЕДОМСТВЕННЫХ НАГРАДАХ</w:t>
      </w:r>
    </w:p>
    <w:p w:rsidR="00F02FCA" w:rsidRDefault="00F02FCA">
      <w:pPr>
        <w:pStyle w:val="ConsPlusTitle"/>
        <w:jc w:val="center"/>
      </w:pPr>
      <w:r>
        <w:t>МИНИСТЕРСТВА ПРОСВЕЩЕНИЯ РОССИЙСКОЙ ФЕДЕРАЦИИ</w:t>
      </w:r>
    </w:p>
    <w:p w:rsidR="00F02FCA" w:rsidRDefault="00F02F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F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25.09.2023 </w:t>
            </w:r>
            <w:hyperlink r:id="rId5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,</w:t>
            </w:r>
          </w:p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6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 xml:space="preserve">, от 17.02.2025 </w:t>
            </w:r>
            <w:hyperlink r:id="rId7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</w:tr>
    </w:tbl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1. Учредить ведомственные награды Министерства просвещения Российской Федерации: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медаль К.Д. Ушинского;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медаль Л.С. Выготского;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почетное звание "Почетный работник сферы образования Российской Федерации";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почетное звание "Почетный работник сферы воспитания детей и молодежи Российской Федерации";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нагрудный знак "За милосердие и благотворительность";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нагрудный знак "Почетный наставник";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нагрудный знак "За верность профессии";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нагрудный знак "Молодость и Профессионализм";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почетная грамота Министерства просвещения Российской Федерации;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ведомственный знак Министерства просвещения Российской Федерации "За содействие";</w:t>
      </w:r>
    </w:p>
    <w:p w:rsidR="00F02FCA" w:rsidRDefault="00F02FCA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25.09.2023 N 715)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ведомственный знак Министерства просвещения Российской Федерации "100-летие МДЦ "Артек".</w:t>
      </w:r>
    </w:p>
    <w:p w:rsidR="00F02FCA" w:rsidRDefault="00F02FCA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110)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2. Утвердить:</w:t>
      </w:r>
    </w:p>
    <w:p w:rsidR="00F02FCA" w:rsidRDefault="00F02FCA">
      <w:pPr>
        <w:pStyle w:val="ConsPlusNormal"/>
        <w:spacing w:before="220"/>
        <w:ind w:firstLine="540"/>
        <w:jc w:val="both"/>
      </w:pPr>
      <w:hyperlink w:anchor="P50">
        <w:r>
          <w:rPr>
            <w:color w:val="0000FF"/>
          </w:rPr>
          <w:t>Положение</w:t>
        </w:r>
      </w:hyperlink>
      <w:r>
        <w:t xml:space="preserve"> о ведомственных наградах Министерства просвещения Российской Федерации (приложение 1);</w:t>
      </w:r>
    </w:p>
    <w:p w:rsidR="00F02FCA" w:rsidRDefault="00F02FCA">
      <w:pPr>
        <w:pStyle w:val="ConsPlusNormal"/>
        <w:spacing w:before="220"/>
        <w:ind w:firstLine="540"/>
        <w:jc w:val="both"/>
      </w:pPr>
      <w:hyperlink w:anchor="P331">
        <w:r>
          <w:rPr>
            <w:color w:val="0000FF"/>
          </w:rPr>
          <w:t>Описание</w:t>
        </w:r>
      </w:hyperlink>
      <w:r>
        <w:t xml:space="preserve"> ведомственных наград Министерства просвещения Российской Федерации (приложение 2).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9 января 2019 г. N 1 "О ведомственных наградах Министерства просвещения Российской Федерации" (зарегистрирован Министерством юстиции Российской Федерации 22 мая 2019 г., регистрационный N 54691).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4. Настоящий приказ вступает в силу с 1 октября 2021 года.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right"/>
      </w:pPr>
      <w:r>
        <w:t>Исполняющий обязанности Министра</w:t>
      </w:r>
    </w:p>
    <w:p w:rsidR="00F02FCA" w:rsidRDefault="00F02FCA">
      <w:pPr>
        <w:pStyle w:val="ConsPlusNormal"/>
        <w:jc w:val="right"/>
      </w:pPr>
      <w:r>
        <w:t>А.А.КОРНЕЕВ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right"/>
        <w:outlineLvl w:val="0"/>
      </w:pPr>
      <w:r>
        <w:t>Приложение 1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right"/>
      </w:pPr>
      <w:r>
        <w:t>Утверждено</w:t>
      </w:r>
    </w:p>
    <w:p w:rsidR="00F02FCA" w:rsidRDefault="00F02FCA">
      <w:pPr>
        <w:pStyle w:val="ConsPlusNormal"/>
        <w:jc w:val="right"/>
      </w:pPr>
      <w:r>
        <w:t>приказом Министерства просвещения</w:t>
      </w:r>
    </w:p>
    <w:p w:rsidR="00F02FCA" w:rsidRDefault="00F02FCA">
      <w:pPr>
        <w:pStyle w:val="ConsPlusNormal"/>
        <w:jc w:val="right"/>
      </w:pPr>
      <w:r>
        <w:t>Российской Федерации</w:t>
      </w:r>
    </w:p>
    <w:p w:rsidR="00F02FCA" w:rsidRDefault="00F02FCA">
      <w:pPr>
        <w:pStyle w:val="ConsPlusNormal"/>
        <w:jc w:val="right"/>
      </w:pPr>
      <w:r>
        <w:t>от 1 июля 2021 г. N 400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Title"/>
        <w:jc w:val="center"/>
      </w:pPr>
      <w:bookmarkStart w:id="0" w:name="P50"/>
      <w:bookmarkEnd w:id="0"/>
      <w:r>
        <w:t>ПОЛОЖЕНИЕ</w:t>
      </w:r>
    </w:p>
    <w:p w:rsidR="00F02FCA" w:rsidRDefault="00F02FCA">
      <w:pPr>
        <w:pStyle w:val="ConsPlusTitle"/>
        <w:jc w:val="center"/>
      </w:pPr>
      <w:r>
        <w:t>О ВЕДОМСТВЕННЫХ НАГРАДАХ МИНИСТЕРСТВА ПРОСВЕЩЕНИЯ</w:t>
      </w:r>
    </w:p>
    <w:p w:rsidR="00F02FCA" w:rsidRDefault="00F02FCA">
      <w:pPr>
        <w:pStyle w:val="ConsPlusTitle"/>
        <w:jc w:val="center"/>
      </w:pPr>
      <w:r>
        <w:t>РОССИЙСКОЙ ФЕДЕРАЦИИ</w:t>
      </w:r>
    </w:p>
    <w:p w:rsidR="00F02FCA" w:rsidRDefault="00F02F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F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25.09.2023 </w:t>
            </w:r>
            <w:hyperlink r:id="rId12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,</w:t>
            </w:r>
          </w:p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13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 xml:space="preserve">, от 17.02.2025 </w:t>
            </w:r>
            <w:hyperlink r:id="rId14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</w:tr>
    </w:tbl>
    <w:p w:rsidR="00F02FCA" w:rsidRDefault="00F02FCA">
      <w:pPr>
        <w:pStyle w:val="ConsPlusNormal"/>
        <w:jc w:val="both"/>
      </w:pPr>
    </w:p>
    <w:p w:rsidR="00F02FCA" w:rsidRDefault="00F02FCA">
      <w:pPr>
        <w:pStyle w:val="ConsPlusTitle"/>
        <w:jc w:val="center"/>
        <w:outlineLvl w:val="1"/>
      </w:pPr>
      <w:r>
        <w:t>I. Общие положения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Министерства просвещения Российской Федерации (далее соответственно - ведомственные награды, порядок награждения ведомственными наградами).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2. Ведомственные награды являются формой поощрения и общественного признания достижений лиц, указанных в </w:t>
      </w:r>
      <w:hyperlink w:anchor="P62">
        <w:r>
          <w:rPr>
            <w:color w:val="0000FF"/>
          </w:rPr>
          <w:t>пунктах 4</w:t>
        </w:r>
      </w:hyperlink>
      <w:r>
        <w:t xml:space="preserve"> - </w:t>
      </w:r>
      <w:hyperlink w:anchor="P139">
        <w:r>
          <w:rPr>
            <w:color w:val="0000FF"/>
          </w:rPr>
          <w:t>12</w:t>
        </w:r>
      </w:hyperlink>
      <w:r>
        <w:t xml:space="preserve"> настоящего Положения.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3. Награждение ведомственными наградами производится за выдающиеся достижения (заслуги) и многолетний добросовестный труд (службу)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функций по оказанию государственных услуг и управлению государственным имуществом в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2" w:name="P62"/>
      <w:bookmarkEnd w:id="2"/>
      <w:r>
        <w:t>4. Медалью К.Д. Ушинского награждаются граждане Российской Федерации из числа педагогических работников и деятелей в области педагогических наук, имеющих ученую степень доктора педагогических наук, либо кандидата педагогических наук, внесших значительный вклад: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разработку вопросов теории и истории педагогических наук;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lastRenderedPageBreak/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разработку учебников и учебных пособий, а также учебно-методических материалов.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5. Медалью Л.С. Выготского награждаются граждане Российской Федерации из числа педагогических работников и деятелей в области психологических наук, имеющих ученую степень доктора педагогических или психологических наук, либо кандидата педагогических или </w:t>
      </w:r>
      <w:proofErr w:type="gramStart"/>
      <w:r>
        <w:t>психологических наук</w:t>
      </w:r>
      <w:proofErr w:type="gramEnd"/>
      <w:r>
        <w:t xml:space="preserve"> внесших значительный вклад: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развитие культурно-исторического подхода в психологии;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разработку вопросов теории и истории психологических наук;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совершенствование методов педагогического и психологического сопровождения граждан;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научно-методическое обеспечение психологической поддержки.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3" w:name="P71"/>
      <w:bookmarkEnd w:id="3"/>
      <w:r>
        <w:t>6. Почетное звание "Почетный работник сферы образования Российской Федерации" присваивается: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образования;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лицам, замещающим государственные должности Российской Федерации, федеральным государственным служащим и работникам </w:t>
      </w:r>
      <w:proofErr w:type="spellStart"/>
      <w:r>
        <w:t>Минпросвещения</w:t>
      </w:r>
      <w:proofErr w:type="spellEnd"/>
      <w:r>
        <w:t xml:space="preserve"> России, федеральным государственным служащим и работникам иных федеральных органов государственной власти;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значительные заслуги в сфере образования;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многолетний добросовестный труд в сфере образования.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4" w:name="P80"/>
      <w:bookmarkEnd w:id="4"/>
      <w:r>
        <w:t>7. Почетное звание "Почетный работник сферы воспитания детей и молодежи Российской Федерации" присваивается: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Российской Федерации,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lastRenderedPageBreak/>
        <w:t xml:space="preserve">федеральным государственным служащим и работникам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федеральным государственным служащим и работникам иных федеральных органов государственной власти;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значительные заслуги в области воспитания детей и молодежи;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значительные успехи в развитии системы воспитания и семейного устройства детей-сирот и детей, оставшихся без попечения родителей, защиты их прав;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значительные успехи в реализации молодежной политики;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многолетний добросовестный труд в области воспитания детей и молодежи.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8. Нагрудным знаком "За милосердие и благотворительность" награждаются граждане Российской Федерации, иностранные граждане, лица без гражданства.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систематическую материальную и нематериальную благотворительную помощь в организации и проведении мероприятий для детей и молодежи;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личную финансовую и иную помощь организациям, осуществляющим образовательную деятельность, в развитии их материально-технической базы и оказание поддержки отдельным обучающимся и воспитанникам;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личное материальное и нематериальное участие в разработке и практической реализации программ поддержки социально незащищенных детей и молодежи.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5" w:name="P98"/>
      <w:bookmarkEnd w:id="5"/>
      <w:r>
        <w:t>9. Нагрудным знаком "Почетный наставник" награждаются лучшие наставники молодежи из числа: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работников организаций, осуществляющих деятельность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лиц, замещающих государственные должности Российской Федерации, федеральных государственных служащих и работников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федеральных государственных служащих и работников иных федеральных органов государственной власти;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lastRenderedPageBreak/>
        <w:t>лиц, замещающих муниципальные должности, муниципальных служащих, работников органов местного самоуправления.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нагрудным знаком "Почетный наставник" производится за личные заслуги: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содействии молодым работникам (служащим), в том числе представителям творческих профессий в успешном овладении ими профессиональными знаниями, навыками и умениями, в их профессиональном становлении;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приобретении молодыми работниками (служащими) опыта работы по специальности, формировании у них практических знаний и навыков;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оказании постоянной и эффективной помощи молодым работникам (служащим) в совершенствовании форм и методов работы;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проведении работы по воспитанию молодых работников (служащих), повышению их общественной активности и формированию гражданской позиции.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10. Нагрудным знаком "За верность профессии" награждаются: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лица, замещающие государственные должности Российской Федерации, 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многолетний и плодотворный труд в образовательных организациях;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многолетнюю и плодотворную воспитательную работу;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многолетний труд по обеспечению образовательной деятельности;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многолетний и плодотворный труд в органах управления образования.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7" w:name="P122"/>
      <w:bookmarkEnd w:id="7"/>
      <w:r>
        <w:t>11. Нагрудным знаком "Молодость и Профессионализм" награждаются: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лица, замещающие государственные должности Российской Федерации, 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lastRenderedPageBreak/>
        <w:t>федеральные государственные служащие и работники иных федеральных органов государственной власти;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ind w:firstLine="540"/>
        <w:jc w:val="both"/>
      </w:pPr>
      <w:r>
        <w:t>заслуги в сфере образования;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заслуги в сфере воспитания, опеки и попечительства в отношении несовершеннолетних граждан;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заслуги в сфере социальной поддержки и социальной защиты обучающихся;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заслуги в сфере молодежной политики;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популяризацию профессии учителя, воспитателя, педагога;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победы в конкурсах профессионального мастерства.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Возраст кандидатов на награждение нагрудным знаком "Молодость и Профессионализм" не должен превышать 35 лет.</w:t>
      </w:r>
    </w:p>
    <w:p w:rsidR="00F02FCA" w:rsidRDefault="00F02FCA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25.09.2023 N 715)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8" w:name="P139"/>
      <w:bookmarkEnd w:id="8"/>
      <w:r>
        <w:t>12. Почетной грамотой Министерства просвещения Российской Федерации (далее - Почетная грамота) награждаются: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а также работники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лица, замещающие государственные должности Российской Федерации, 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значительные заслуги в сфере образования;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значительные заслуги в сфере воспитания, опеки и попечительства в отношении </w:t>
      </w:r>
      <w:r>
        <w:lastRenderedPageBreak/>
        <w:t>несовершеннолетних граждан;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значительные заслуги в сфере социальной поддержки и социальной защиты обучающихся;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значительные заслуги в сфере молодежной политики;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многолетний добросовестный труд;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эффективную и безупречную государственную гражданскую службу, муниципальную службу.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9" w:name="P153"/>
      <w:bookmarkEnd w:id="9"/>
      <w:r>
        <w:t>12(1). Ведомственным знаком Министерства просвещения Российской Федерации "За содействие" награждаются граждане Российской Федерации и иностранные граждане.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оказание активного содействия в решении задач, возложенных на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популяризацию и продвижение российского образования за рубежом.</w:t>
      </w:r>
    </w:p>
    <w:p w:rsidR="00F02FCA" w:rsidRDefault="00F02FCA">
      <w:pPr>
        <w:pStyle w:val="ConsPlusNormal"/>
        <w:jc w:val="both"/>
      </w:pPr>
      <w:r>
        <w:t xml:space="preserve">(п. 12(1) введен </w:t>
      </w:r>
      <w:hyperlink r:id="rId16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25.09.2023 N 715)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10" w:name="P158"/>
      <w:bookmarkEnd w:id="10"/>
      <w:r>
        <w:t>12(2). Ведомственным знаком Министерства просвещения Российской Федерации "100-летие МДЦ "Артек" награждаются лица, внесшие значительный вклад в развитие и становление федерального государственного бюджетного образовательного учреждения "Международный детский центр "Артек" (далее - МДЦ "Артек") в различные периоды, в том числе: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работники МДЦ "Артек";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лица, ранее осуществлявшие трудовую деятельность в МДЦ "Артек" и иные лица.</w:t>
      </w:r>
    </w:p>
    <w:p w:rsidR="00F02FCA" w:rsidRDefault="00F02FCA">
      <w:pPr>
        <w:pStyle w:val="ConsPlusNormal"/>
        <w:jc w:val="both"/>
      </w:pPr>
      <w:r>
        <w:t xml:space="preserve">(п. 12(2) введен </w:t>
      </w:r>
      <w:hyperlink r:id="rId17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110)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13. Кандидаты на награждение ведомственными наградами должны одновременно соответствовать следующим требованиям: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13.1. Наличие стажа работы: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не менее 20 лет в области педагогических наук, в том числе 5 лет в представляющей к награждению организации (органе) - для награждения медалью К.Д. Ушинского;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не менее 20 лет в области психологических наук, в том числе 5 лет в представляющей к награждению организации (органе) - для награждения медалью Л.С. Выготского;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не менее 15 лет осуществления деятельности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в том числе 3 года в представляющей к награждению организации (органе) - для присвоения почетных званий "Почетный работник сферы образования Российской Федерации", "Почетный работник сферы воспитания детей и молодежи Российской Федерации", для награждения нагрудным знаком "Почетный наставник";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и 35 лет осуществления деятельности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"За верность профессии";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и осуществления деятельности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"Молодость и Профессионализм";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- для награждения Почетной грамотой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lastRenderedPageBreak/>
        <w:t>требования к стажу работы кандидата, представляемого к награждению нагрудным знаком "За милосердие и благотворительность", ведомственными знаками Министерства просвещения Российской Федерации "За содействие" и "100-летие МДЦ "Артек", не предъявляются.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110)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13.2. Наличие профессиональных заслуг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(сведения о поощрениях и награждениях за эффективную и добросовестную трудовую (служебную) деятельность).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Требования к наличию профессиональных заслуг не предъявляются к кандидатам на награждение нагрудным знаком "За милосердие и благотворительность" и ведомственным знаком Министерства просвещения Российской Федерации "За содействие".</w:t>
      </w:r>
    </w:p>
    <w:p w:rsidR="00F02FCA" w:rsidRDefault="00F02FCA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25.09.2023 N 715)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13.3. Наличие наград и поощрений за активную и добросовестную наставническую деятельность; уникальных практик (программ) наставнической деятельности; тиражирование практики наставничества; публичное признание заслуг в профессиональном сообществе, высокая деловая репутация и нравственные качества при представлении к награждению нагрудным знаком "Почетный наставник".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13.4. Отсутствие не снятой или не погашенной в установленном федеральным законом порядке судимости.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13.5. Отсутствие не снятого дисциплинарного взыскания.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13.6. Наличие: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почетного звания, присвоенного Министерством просвещения Российской Федерации или иным федеральным органом исполнительной власти, ранее осуществлявшим функции, указанные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либо нагрудного знака указанных ведомств при представлении к награждению медалью К.Д. Ушинского, медалью Л.С. Выготского;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Почетной грамоты Министерства просвещения Российской Федерации или иного федерального органа исполнительной власти, ранее осуществлявшего функции, указанные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к присвоению почетного звания "Почетный работник сферы образования Российской Федерации", почетного звания "Почетный работник сферы воспитания детей и молодежи Российской Федерации". Указанное в настоящем абзаце требование не применяется к работникам, стаж которых в деятельности,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составляет свыше 20 лет;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Почетной грамоты, либо почетного звания, либо нагрудного знака Министерства просвещения Российской Федерации, или иного федерального органа исполнительной власти, ранее осуществлявшего функции, указанные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к награждению нагрудным знаком "За верность профессии", нагрудным знаком "Почетный наставник". Указанное в настоящем абзаце требование не применяется к работникам, стаж которых деятельности,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составляет свыше 40 лет.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Требования к наличию ведомственных наград не предъявляются к кандидатам на награждение нагрудным знаком "За милосердие и благотворительность", ведомственными знаками Министерства просвещения Российской Федерации "За содействие" и "100-летие МДЦ </w:t>
      </w:r>
      <w:r>
        <w:lastRenderedPageBreak/>
        <w:t>"Артек".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110)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Title"/>
        <w:jc w:val="center"/>
        <w:outlineLvl w:val="1"/>
      </w:pPr>
      <w:r>
        <w:t>II. Порядок представления к награждению</w:t>
      </w:r>
    </w:p>
    <w:p w:rsidR="00F02FCA" w:rsidRDefault="00F02FCA">
      <w:pPr>
        <w:pStyle w:val="ConsPlusTitle"/>
        <w:jc w:val="center"/>
      </w:pPr>
      <w:r>
        <w:t>ведомственной наградой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ind w:firstLine="540"/>
        <w:jc w:val="both"/>
      </w:pPr>
      <w:r>
        <w:t xml:space="preserve">14. </w:t>
      </w:r>
      <w:r w:rsidRPr="00F02FCA">
        <w:rPr>
          <w:highlight w:val="yellow"/>
        </w:rPr>
        <w:t>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педагогическим советом, общим собранием коллектива</w:t>
      </w:r>
      <w:r>
        <w:t xml:space="preserve">) (за исключением лиц, указанных в абзацах четвертом - пятом </w:t>
      </w:r>
      <w:hyperlink w:anchor="P71">
        <w:r>
          <w:rPr>
            <w:color w:val="0000FF"/>
          </w:rPr>
          <w:t>пунктов 6</w:t>
        </w:r>
      </w:hyperlink>
      <w:r>
        <w:t xml:space="preserve">, </w:t>
      </w:r>
      <w:hyperlink w:anchor="P80">
        <w:r>
          <w:rPr>
            <w:color w:val="0000FF"/>
          </w:rPr>
          <w:t>7</w:t>
        </w:r>
      </w:hyperlink>
      <w:r>
        <w:t xml:space="preserve">, </w:t>
      </w:r>
      <w:hyperlink w:anchor="P98">
        <w:r>
          <w:rPr>
            <w:color w:val="0000FF"/>
          </w:rPr>
          <w:t>9</w:t>
        </w:r>
      </w:hyperlink>
      <w:r>
        <w:t xml:space="preserve">, </w:t>
      </w:r>
      <w:hyperlink w:anchor="P110">
        <w:r>
          <w:rPr>
            <w:color w:val="0000FF"/>
          </w:rPr>
          <w:t>10</w:t>
        </w:r>
      </w:hyperlink>
      <w:r>
        <w:t xml:space="preserve">, </w:t>
      </w:r>
      <w:hyperlink w:anchor="P122">
        <w:r>
          <w:rPr>
            <w:color w:val="0000FF"/>
          </w:rPr>
          <w:t>11</w:t>
        </w:r>
      </w:hyperlink>
      <w:r>
        <w:t xml:space="preserve">, </w:t>
      </w:r>
      <w:hyperlink w:anchor="P139">
        <w:r>
          <w:rPr>
            <w:color w:val="0000FF"/>
          </w:rPr>
          <w:t>12</w:t>
        </w:r>
      </w:hyperlink>
      <w:r>
        <w:t xml:space="preserve">, </w:t>
      </w:r>
      <w:hyperlink w:anchor="P153">
        <w:r>
          <w:rPr>
            <w:color w:val="0000FF"/>
          </w:rPr>
          <w:t>пунктах 12(1)</w:t>
        </w:r>
      </w:hyperlink>
      <w:r>
        <w:t xml:space="preserve">, </w:t>
      </w:r>
      <w:hyperlink w:anchor="P158">
        <w:r>
          <w:rPr>
            <w:color w:val="0000FF"/>
          </w:rPr>
          <w:t>12(2)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 и настоящего Положения.</w:t>
      </w:r>
    </w:p>
    <w:p w:rsidR="00F02FCA" w:rsidRDefault="00F02FCA">
      <w:pPr>
        <w:pStyle w:val="ConsPlusNormal"/>
        <w:jc w:val="both"/>
      </w:pPr>
      <w:r>
        <w:t xml:space="preserve">(в ред. Приказов </w:t>
      </w:r>
      <w:proofErr w:type="spellStart"/>
      <w:r>
        <w:t>Минпросвещения</w:t>
      </w:r>
      <w:proofErr w:type="spellEnd"/>
      <w:r>
        <w:t xml:space="preserve"> России от 25.09.2023 </w:t>
      </w:r>
      <w:hyperlink r:id="rId21">
        <w:r>
          <w:rPr>
            <w:color w:val="0000FF"/>
          </w:rPr>
          <w:t>N 715</w:t>
        </w:r>
      </w:hyperlink>
      <w:r>
        <w:t xml:space="preserve">, от 17.02.2025 </w:t>
      </w:r>
      <w:hyperlink r:id="rId22">
        <w:r>
          <w:rPr>
            <w:color w:val="0000FF"/>
          </w:rPr>
          <w:t>N 110</w:t>
        </w:r>
      </w:hyperlink>
      <w:r>
        <w:t>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Решение о возбуждении ходатайства о награждении ведомственным знаком Министерства просвещения Российской Федерации "За содействие" возбуждается 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Федерации.</w:t>
      </w:r>
    </w:p>
    <w:p w:rsidR="00F02FCA" w:rsidRDefault="00F02FCA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25.09.2023 N 715)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Решение о возбуждении ходатайства о награждении ведомственным знаком Министерства просвещения Российской Федерации "100-летие МДЦ "Артек" возбуждается Министром просвещения Российской Федерации, 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Федерации, директором МДЦ "Артек".</w:t>
      </w:r>
    </w:p>
    <w:p w:rsidR="00F02FCA" w:rsidRDefault="00F02FCA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110)</w:t>
      </w:r>
    </w:p>
    <w:p w:rsidR="00F02FCA" w:rsidRPr="00F02FCA" w:rsidRDefault="00F02FCA">
      <w:pPr>
        <w:pStyle w:val="ConsPlusNormal"/>
        <w:spacing w:before="220"/>
        <w:ind w:firstLine="540"/>
        <w:jc w:val="both"/>
        <w:rPr>
          <w:b/>
          <w:highlight w:val="yellow"/>
        </w:rPr>
      </w:pPr>
      <w:r w:rsidRPr="00F02FCA">
        <w:rPr>
          <w:b/>
          <w:highlight w:val="yellow"/>
        </w:rPr>
        <w:t>15. Число лиц, представляемых к награждению, может составлять:</w:t>
      </w:r>
    </w:p>
    <w:p w:rsidR="00F02FCA" w:rsidRPr="00F02FCA" w:rsidRDefault="00F02FCA">
      <w:pPr>
        <w:pStyle w:val="ConsPlusNormal"/>
        <w:spacing w:before="220"/>
        <w:ind w:firstLine="540"/>
        <w:jc w:val="both"/>
        <w:rPr>
          <w:b/>
          <w:highlight w:val="yellow"/>
        </w:rPr>
      </w:pPr>
      <w:r w:rsidRPr="00F02FCA">
        <w:rPr>
          <w:b/>
          <w:highlight w:val="yellow"/>
        </w:rPr>
        <w:t>не более одного человека в год от организации (органа) общей штатной численностью менее 100 человек;</w:t>
      </w:r>
    </w:p>
    <w:p w:rsidR="00F02FCA" w:rsidRPr="00F02FCA" w:rsidRDefault="00F02FCA">
      <w:pPr>
        <w:pStyle w:val="ConsPlusNormal"/>
        <w:spacing w:before="220"/>
        <w:ind w:firstLine="540"/>
        <w:jc w:val="both"/>
        <w:rPr>
          <w:b/>
        </w:rPr>
      </w:pPr>
      <w:r w:rsidRPr="00F02FCA">
        <w:rPr>
          <w:b/>
          <w:highlight w:val="yellow"/>
        </w:rPr>
        <w:t>не более одного человека в год на каждые 100 работающих (служащих) для организации (органов) общей штатной численностью свыше 100 человек.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При представлении исполнительным органом субъекта Российской Федерации, осуществляющим управление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 (далее - исполнительный орган), документов о награждении работников организаций, находящихся в ведении субъектов Российской Федерации, количество представляемых к награждению лиц определяется от общего числа работающих в подведомственных ему организациях (органах) в субъекте Российской Федерации.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04.12.2024 N 850)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 случае наступления юбилейной даты организации (органа), которыми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необходимо представить сведения от организации (органа) о дате образования.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Указанное количественное ограничение не распространяется на представляемых к награждению федеральных государственных гражданских служащих и работников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16. При представлении к награждению нескольких кандидатур ходатайство о награждении </w:t>
      </w:r>
      <w:r>
        <w:lastRenderedPageBreak/>
        <w:t>(далее - ходатайство) оформляется общим списком.</w:t>
      </w:r>
    </w:p>
    <w:p w:rsidR="00F02FCA" w:rsidRPr="00F02FCA" w:rsidRDefault="00F02FCA">
      <w:pPr>
        <w:pStyle w:val="ConsPlusNormal"/>
        <w:spacing w:before="220"/>
        <w:ind w:firstLine="540"/>
        <w:jc w:val="both"/>
        <w:rPr>
          <w:b/>
        </w:rPr>
      </w:pPr>
      <w:r>
        <w:t xml:space="preserve">17. </w:t>
      </w:r>
      <w:r w:rsidRPr="00F02FCA">
        <w:rPr>
          <w:b/>
          <w:highlight w:val="yellow"/>
        </w:rPr>
        <w:t xml:space="preserve">К ходатайству прилагается наградной лист, рекомендуемый образец которого приведен в </w:t>
      </w:r>
      <w:hyperlink w:anchor="P264">
        <w:r w:rsidRPr="00F02FCA">
          <w:rPr>
            <w:b/>
            <w:color w:val="0000FF"/>
            <w:highlight w:val="yellow"/>
          </w:rPr>
          <w:t>приложении</w:t>
        </w:r>
      </w:hyperlink>
      <w:r w:rsidRPr="00F02FCA">
        <w:rPr>
          <w:b/>
          <w:highlight w:val="yellow"/>
        </w:rPr>
        <w:t xml:space="preserve"> к настоящему Положению (далее - наградной лист). В наградном листе рекомендуется указывать конкретные заслуги кандидата, сведения о личном вкладе в сферу деятельности организации (органа).</w:t>
      </w:r>
    </w:p>
    <w:p w:rsidR="00F02FCA" w:rsidRDefault="00F02FCA">
      <w:pPr>
        <w:pStyle w:val="ConsPlusNormal"/>
        <w:spacing w:before="220"/>
        <w:ind w:firstLine="540"/>
        <w:jc w:val="both"/>
      </w:pPr>
      <w:r w:rsidRPr="00F02FCA">
        <w:rPr>
          <w:b/>
          <w:highlight w:val="yellow"/>
        </w:rPr>
        <w:t>К наградному листу должны прилагаться: справка об общем количестве штатных сотрудников, работающих в организации (органе); решение коллегиального органа организации, представляющей работника к награждению</w:t>
      </w:r>
      <w:r>
        <w:t xml:space="preserve"> (за исключением лиц, указанных в абзацах четвертом - пятом </w:t>
      </w:r>
      <w:hyperlink w:anchor="P71">
        <w:r>
          <w:rPr>
            <w:color w:val="0000FF"/>
          </w:rPr>
          <w:t>пунктов 6</w:t>
        </w:r>
      </w:hyperlink>
      <w:r>
        <w:t xml:space="preserve">, </w:t>
      </w:r>
      <w:hyperlink w:anchor="P80">
        <w:r>
          <w:rPr>
            <w:color w:val="0000FF"/>
          </w:rPr>
          <w:t>7</w:t>
        </w:r>
      </w:hyperlink>
      <w:r>
        <w:t xml:space="preserve">, </w:t>
      </w:r>
      <w:hyperlink w:anchor="P98">
        <w:r>
          <w:rPr>
            <w:color w:val="0000FF"/>
          </w:rPr>
          <w:t>9</w:t>
        </w:r>
      </w:hyperlink>
      <w:r>
        <w:t xml:space="preserve">, </w:t>
      </w:r>
      <w:hyperlink w:anchor="P110">
        <w:r>
          <w:rPr>
            <w:color w:val="0000FF"/>
          </w:rPr>
          <w:t>10</w:t>
        </w:r>
      </w:hyperlink>
      <w:r>
        <w:t xml:space="preserve">, </w:t>
      </w:r>
      <w:hyperlink w:anchor="P122">
        <w:r>
          <w:rPr>
            <w:color w:val="0000FF"/>
          </w:rPr>
          <w:t>11</w:t>
        </w:r>
      </w:hyperlink>
      <w:r>
        <w:t xml:space="preserve">, </w:t>
      </w:r>
      <w:hyperlink w:anchor="P139">
        <w:r>
          <w:rPr>
            <w:color w:val="0000FF"/>
          </w:rPr>
          <w:t>12</w:t>
        </w:r>
      </w:hyperlink>
      <w:r>
        <w:t xml:space="preserve">, </w:t>
      </w:r>
      <w:hyperlink w:anchor="P153">
        <w:r>
          <w:rPr>
            <w:color w:val="0000FF"/>
          </w:rPr>
          <w:t>пунктах 12(1)</w:t>
        </w:r>
      </w:hyperlink>
      <w:r>
        <w:t xml:space="preserve">, </w:t>
      </w:r>
      <w:hyperlink w:anchor="P158">
        <w:r>
          <w:rPr>
            <w:color w:val="0000FF"/>
          </w:rPr>
          <w:t>12(2)</w:t>
        </w:r>
      </w:hyperlink>
      <w:r>
        <w:t xml:space="preserve"> настоящего Положения).</w:t>
      </w:r>
    </w:p>
    <w:p w:rsidR="00F02FCA" w:rsidRDefault="00F02FCA">
      <w:pPr>
        <w:pStyle w:val="ConsPlusNormal"/>
        <w:jc w:val="both"/>
      </w:pPr>
      <w:r>
        <w:t xml:space="preserve">(в ред. Приказов </w:t>
      </w:r>
      <w:proofErr w:type="spellStart"/>
      <w:r>
        <w:t>Минпросвещения</w:t>
      </w:r>
      <w:proofErr w:type="spellEnd"/>
      <w:r>
        <w:t xml:space="preserve"> России от 25.09.2023 </w:t>
      </w:r>
      <w:hyperlink r:id="rId26">
        <w:r>
          <w:rPr>
            <w:color w:val="0000FF"/>
          </w:rPr>
          <w:t>N 715</w:t>
        </w:r>
      </w:hyperlink>
      <w:r>
        <w:t xml:space="preserve">, от 17.02.2025 </w:t>
      </w:r>
      <w:hyperlink r:id="rId27">
        <w:r>
          <w:rPr>
            <w:color w:val="0000FF"/>
          </w:rPr>
          <w:t>N 110</w:t>
        </w:r>
      </w:hyperlink>
      <w:r>
        <w:t>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К наградному листу, представленному к награждению медалью К.Д. Ушинского, медалью Л.С. Выготского, дополнительно прилагается список печатных трудов с указанием издательства, даты издания, количества печатных листов.</w:t>
      </w:r>
    </w:p>
    <w:p w:rsidR="00F02FCA" w:rsidRPr="00F02FCA" w:rsidRDefault="00F02FCA">
      <w:pPr>
        <w:pStyle w:val="ConsPlusNormal"/>
        <w:spacing w:before="220"/>
        <w:ind w:firstLine="540"/>
        <w:jc w:val="both"/>
        <w:rPr>
          <w:b/>
        </w:rPr>
      </w:pPr>
      <w:r w:rsidRPr="00F02FCA">
        <w:rPr>
          <w:b/>
        </w:rPr>
        <w:t>Справки об отсутствии у кандидата непогашенной судимости и неснятых дисциплинарных взысканий не оформляются, отсутствие таких сведений гарантируется руководителем организации (органа) при принятии решения о направлении ходатайства о награждении кандидата.</w:t>
      </w:r>
      <w:bookmarkStart w:id="11" w:name="_GoBack"/>
      <w:bookmarkEnd w:id="11"/>
    </w:p>
    <w:p w:rsidR="00F02FCA" w:rsidRDefault="00F02FCA">
      <w:pPr>
        <w:pStyle w:val="ConsPlusNormal"/>
        <w:spacing w:before="220"/>
        <w:ind w:firstLine="540"/>
        <w:jc w:val="both"/>
      </w:pPr>
      <w:r>
        <w:t>Наградные листы на кандидатов, представляемых к награждению ведомственными знаками Министерства просвещения Российской Федерации "За содействие" и "100-летие МДЦ "Артек", не оформляются.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110)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18. Представления к награждению ведомственными наградами вносятся: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 в отношении руководителей курируемых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руководителей (коллективов) подведомственных организаций </w:t>
      </w:r>
      <w:proofErr w:type="spellStart"/>
      <w:r>
        <w:t>Минпросвещения</w:t>
      </w:r>
      <w:proofErr w:type="spellEnd"/>
      <w:r>
        <w:t xml:space="preserve"> России, руководителей организаций, созданных для выполнения задач, поставленных перед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руководителями структурных подразделений Министерства по согласованию с первым заместителем Министра, заместителем Министра или статс-секретарем - заместителем Министра, курирующим соответствующее направление деятельности - в отношении федеральных государственных гражданских служащих соответствующих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руководителями или заместителями руководителей иных федеральных органов государственной власти в отношении государственных служащих федеральных органов государственной власти Российской Федерации и (или) работников (коллективов) подведомственных им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высшими должностными лицами субъектов Российской Федерации в отношении гражданских (муниципальных) служащих и (или) работников подведомственных им организаций;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руководителями исполнительных органов;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04.12.2024 N 850)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руководителями организаций, подведомственных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19. Организации, осуществляющие образовательную деятельность, и иные </w:t>
      </w:r>
      <w:r>
        <w:lastRenderedPageBreak/>
        <w:t xml:space="preserve">подведомственные </w:t>
      </w:r>
      <w:proofErr w:type="spellStart"/>
      <w:r>
        <w:t>Минпросвещения</w:t>
      </w:r>
      <w:proofErr w:type="spellEnd"/>
      <w:r>
        <w:t xml:space="preserve"> России организации, иные федеральные органы государственной власти направляют документы о награждении своих работников (служащих) и подведомственных им организаций (в том числе своих филиалов) непосредственно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20. Филиалы организаций, осуществляющих образовательную деятельность, и иных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 направляют документы о награждении в головную организацию, которая при соответствии кандидата требованиям настоящего Положения направляет их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21. Организации, осуществляющие образовательную деятельность и иные организации (органы), находящиеся в ведении иных федеральных органов государственной власти, направляют документы о награждении в федеральный орган государственной власти по подведомственности, который при соответствии кандидата требованиям настоящего Положения со своим ходатайством направляет их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22. Организации, осуществляющие образовательную деятельность, и иные организации, находящиеся в ведении субъектов Российской Федерации, направляют документы о награждении в исполнительный орган.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04.12.2024 N 850)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Исполнительный орган коллегиально рассматривает представленные документы и при соответствии кандидата требованиям настоящего Положения направляет ходатайство в </w:t>
      </w:r>
      <w:proofErr w:type="spellStart"/>
      <w:r>
        <w:t>Минпросвещения</w:t>
      </w:r>
      <w:proofErr w:type="spellEnd"/>
      <w:r>
        <w:t xml:space="preserve"> России с приложением решения коллегиального органа, в котором указываются фамилия, имя, отчество (при наличии), представляемого(</w:t>
      </w:r>
      <w:proofErr w:type="spellStart"/>
      <w:r>
        <w:t>ых</w:t>
      </w:r>
      <w:proofErr w:type="spellEnd"/>
      <w:r>
        <w:t>) к награждению, его (их) должность, место и стаж работы в установленной сфере ведения и в организации (органе).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04.12.2024 N 850)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При представлении к присвоению почетного звания или награждению нагрудным знаком указывается дата награждения Почетной грамотой.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При представлении к награждению медалью К.Д. Ушинского или медалью Л.С. Выготского указывается дата присвоения почетного звания.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В представлении также указываются сведения о количестве работников и служащих в субъекте Российской Федерации в соответствующей сфере ведения </w:t>
      </w:r>
      <w:proofErr w:type="spellStart"/>
      <w:r>
        <w:t>Минпросвещения</w:t>
      </w:r>
      <w:proofErr w:type="spellEnd"/>
      <w:r>
        <w:t xml:space="preserve"> России. Наградные листы кандидатов на награждение, представляемых исполнительным органом в </w:t>
      </w:r>
      <w:proofErr w:type="spellStart"/>
      <w:r>
        <w:t>Минпросвещения</w:t>
      </w:r>
      <w:proofErr w:type="spellEnd"/>
      <w:r>
        <w:t xml:space="preserve"> России, не направляются, а подлежат хранению в представляющем органе.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04.12.2024 N 850)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23. Частные образовательные организации, общественные или организации, не подведомственные иным государственным органам власти, осуществляющие деятельность на территории субъекта Российской Федерации, направляют документы о награждении в исполнительный орган, который рассматривает представленные документы и при соответствии кандидата требованиям настоящего Положения направляет ходатайство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04.12.2024 N 850)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Исключения составляют образовательные организации высшего образования, осуществляющие деятельность в сфере, указанной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Положения, которые направляют документы о награждении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24. На основании представленных документов </w:t>
      </w:r>
      <w:proofErr w:type="spellStart"/>
      <w:r>
        <w:t>Минпросвещения</w:t>
      </w:r>
      <w:proofErr w:type="spellEnd"/>
      <w:r>
        <w:t xml:space="preserve"> России в 90-дневный срок принимает решение о награждении кандидата ведомственной наградой, либо отказе в награждении кандидата ведомственной наградой. Решение о награждении кандидата ведомственным знаком Министерства просвещения Российской Федерации "За содействие", а </w:t>
      </w:r>
      <w:r>
        <w:lastRenderedPageBreak/>
        <w:t>также ведомственным знаком Министерства просвещения Российской Федерации "100-летие МДЦ "Артек" принимается Министром просвещения Российской Федерации в 10-дневной срок после поступления ходатайства о награждении.</w:t>
      </w:r>
    </w:p>
    <w:p w:rsidR="00F02FCA" w:rsidRDefault="00F02FCA">
      <w:pPr>
        <w:pStyle w:val="ConsPlusNormal"/>
        <w:jc w:val="both"/>
      </w:pPr>
      <w:r>
        <w:t xml:space="preserve">(в ред. Приказов </w:t>
      </w:r>
      <w:proofErr w:type="spellStart"/>
      <w:r>
        <w:t>Минпросвещения</w:t>
      </w:r>
      <w:proofErr w:type="spellEnd"/>
      <w:r>
        <w:t xml:space="preserve"> России от 25.09.2023 </w:t>
      </w:r>
      <w:hyperlink r:id="rId34">
        <w:r>
          <w:rPr>
            <w:color w:val="0000FF"/>
          </w:rPr>
          <w:t>N 715</w:t>
        </w:r>
      </w:hyperlink>
      <w:r>
        <w:t xml:space="preserve">, от 17.02.2025 </w:t>
      </w:r>
      <w:hyperlink r:id="rId35">
        <w:r>
          <w:rPr>
            <w:color w:val="0000FF"/>
          </w:rPr>
          <w:t>N 110</w:t>
        </w:r>
      </w:hyperlink>
      <w:r>
        <w:t>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Ходатайства о награждении лиц, представленных к награждению ведомственными наградами, в отношении которых Министром просвещения Российской Федерации или заместителем Министра просвещения Российской Федерации, курирующим вопросы награждения,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ind w:firstLine="540"/>
        <w:jc w:val="both"/>
      </w:pPr>
      <w:r>
        <w:t xml:space="preserve">25. Награждение ведомственной наградой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26.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27. Копии приказов </w:t>
      </w:r>
      <w:proofErr w:type="spellStart"/>
      <w:r>
        <w:t>Минпросвещения</w:t>
      </w:r>
      <w:proofErr w:type="spellEnd"/>
      <w:r>
        <w:t xml:space="preserve"> России о награждении, а также нагрудные знаки и удостоверения к ним, Почетные грамоты выдаются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просвещения Российской Федерации или заместителями Министра просвещения Российской Федерации.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28. Награждение очередной ведомственной наградой за новые заслуги возможно не ранее, чем через три года после предыдущего награждения.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29. Запись о награждении вносится в трудовую книжку, а также учитывается при формировании в электронном виде основной информации о трудовой деятельности и трудовом стаже награжденного работника.</w:t>
      </w:r>
    </w:p>
    <w:p w:rsidR="00F02FCA" w:rsidRDefault="00F02FCA">
      <w:pPr>
        <w:pStyle w:val="ConsPlusNormal"/>
        <w:jc w:val="both"/>
      </w:pPr>
      <w:r>
        <w:t xml:space="preserve">(п. 29 в ред. </w:t>
      </w:r>
      <w:hyperlink r:id="rId3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25.09.2023 N 715)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30. Повторное награждение одним видом ведомственной награды не производится.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31. В случаях утраты ведомственной награды или удостоверения к ней </w:t>
      </w:r>
      <w:proofErr w:type="spellStart"/>
      <w:r>
        <w:t>Минпросвещения</w:t>
      </w:r>
      <w:proofErr w:type="spellEnd"/>
      <w:r>
        <w:t xml:space="preserve"> России выдает справку, подтверждающую факт награждения. Дубликаты ведомственных наград не выдаются.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32. Учет лиц, награжденных ведомственными наградами, осуществляет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right"/>
        <w:outlineLvl w:val="1"/>
      </w:pPr>
      <w:r>
        <w:t>Приложение</w:t>
      </w:r>
    </w:p>
    <w:p w:rsidR="00F02FCA" w:rsidRDefault="00F02FCA">
      <w:pPr>
        <w:pStyle w:val="ConsPlusNormal"/>
        <w:jc w:val="right"/>
      </w:pPr>
      <w:r>
        <w:t>к Положению о ведомственных наградах</w:t>
      </w:r>
    </w:p>
    <w:p w:rsidR="00F02FCA" w:rsidRDefault="00F02FCA">
      <w:pPr>
        <w:pStyle w:val="ConsPlusNormal"/>
        <w:jc w:val="right"/>
      </w:pPr>
      <w:r>
        <w:t>Министерства просвещения Российской</w:t>
      </w:r>
    </w:p>
    <w:p w:rsidR="00F02FCA" w:rsidRDefault="00F02FCA">
      <w:pPr>
        <w:pStyle w:val="ConsPlusNormal"/>
        <w:jc w:val="right"/>
      </w:pPr>
      <w:r>
        <w:t>Федерации, утвержденному</w:t>
      </w:r>
    </w:p>
    <w:p w:rsidR="00F02FCA" w:rsidRDefault="00F02FCA">
      <w:pPr>
        <w:pStyle w:val="ConsPlusNormal"/>
        <w:jc w:val="right"/>
      </w:pPr>
      <w:r>
        <w:t>приказом Министерства просвещения</w:t>
      </w:r>
    </w:p>
    <w:p w:rsidR="00F02FCA" w:rsidRDefault="00F02FCA">
      <w:pPr>
        <w:pStyle w:val="ConsPlusNormal"/>
        <w:jc w:val="right"/>
      </w:pPr>
      <w:r>
        <w:t>Российской Федерации</w:t>
      </w:r>
    </w:p>
    <w:p w:rsidR="00F02FCA" w:rsidRDefault="00F02FCA">
      <w:pPr>
        <w:pStyle w:val="ConsPlusNormal"/>
        <w:jc w:val="right"/>
      </w:pPr>
      <w:r>
        <w:t>от 1 июля 2021 г. N 400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right"/>
      </w:pPr>
      <w:r>
        <w:lastRenderedPageBreak/>
        <w:t>Рекомендуемый образец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nformat"/>
        <w:jc w:val="both"/>
      </w:pPr>
      <w:r>
        <w:t xml:space="preserve">               МИНИСТЕРСТВО ПРОСВЕЩЕНИЯ РОССИЙСКОЙ ФЕДЕРАЦИИ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bookmarkStart w:id="12" w:name="P264"/>
      <w:bookmarkEnd w:id="12"/>
      <w:r>
        <w:t xml:space="preserve">                              НАГРАДНОЙ ЛИСТ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 w:rsidR="00F02FCA" w:rsidRDefault="00F02FCA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                 (наименование ведомственной награды</w:t>
      </w:r>
    </w:p>
    <w:p w:rsidR="00F02FCA" w:rsidRDefault="00F02FCA">
      <w:pPr>
        <w:pStyle w:val="ConsPlusNonformat"/>
        <w:jc w:val="both"/>
      </w:pPr>
      <w:r>
        <w:t xml:space="preserve">                             Министерства просвещения Российской Федерации)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r>
        <w:t>1. Фамилия ________________________________________________________________</w:t>
      </w:r>
    </w:p>
    <w:p w:rsidR="00F02FCA" w:rsidRDefault="00F02FCA">
      <w:pPr>
        <w:pStyle w:val="ConsPlusNonformat"/>
        <w:jc w:val="both"/>
      </w:pPr>
      <w:r>
        <w:t>Имя_____________________ Отчество (при наличии) ___________________________</w:t>
      </w:r>
    </w:p>
    <w:p w:rsidR="00F02FCA" w:rsidRDefault="00F02FCA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F02FCA" w:rsidRDefault="00F02FCA">
      <w:pPr>
        <w:pStyle w:val="ConsPlusNonformat"/>
        <w:jc w:val="both"/>
      </w:pPr>
      <w:r>
        <w:t>___________________________________________________________________________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(полное наименование организации (органа))</w:t>
      </w:r>
    </w:p>
    <w:p w:rsidR="00F02FCA" w:rsidRDefault="00F02FCA">
      <w:pPr>
        <w:pStyle w:val="ConsPlusNonformat"/>
        <w:jc w:val="both"/>
      </w:pPr>
      <w:r>
        <w:t>3. Пол_________________ 4. Дата рождения 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F02FCA" w:rsidRDefault="00F02FCA">
      <w:pPr>
        <w:pStyle w:val="ConsPlusNonformat"/>
        <w:jc w:val="both"/>
      </w:pPr>
      <w:r>
        <w:t>5. Место рождения _________________________________________________________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(республика, край, область, округ, город, район, поселок,</w:t>
      </w:r>
    </w:p>
    <w:p w:rsidR="00F02FCA" w:rsidRDefault="00F02FCA">
      <w:pPr>
        <w:pStyle w:val="ConsPlusNonformat"/>
        <w:jc w:val="both"/>
      </w:pPr>
      <w:r>
        <w:t>___________________________________________________________________________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            село, деревня)</w:t>
      </w:r>
    </w:p>
    <w:p w:rsidR="00F02FCA" w:rsidRDefault="00F02FCA">
      <w:pPr>
        <w:pStyle w:val="ConsPlusNonformat"/>
        <w:jc w:val="both"/>
      </w:pPr>
      <w:r>
        <w:t>6. Образование ____________________________________________________________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(уровень полученного образования, полное наименование</w:t>
      </w:r>
    </w:p>
    <w:p w:rsidR="00F02FCA" w:rsidRDefault="00F02FCA">
      <w:pPr>
        <w:pStyle w:val="ConsPlusNonformat"/>
        <w:jc w:val="both"/>
      </w:pPr>
      <w:r>
        <w:t>___________________________________________________________________________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образовательной организации, год окончания)</w:t>
      </w:r>
    </w:p>
    <w:p w:rsidR="00F02FCA" w:rsidRDefault="00F02FCA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F02FCA" w:rsidRDefault="00F02FCA"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 w:rsidR="00F02FCA" w:rsidRDefault="00F02FCA">
      <w:pPr>
        <w:pStyle w:val="ConsPlusNonformat"/>
        <w:jc w:val="both"/>
      </w:pPr>
      <w:r>
        <w:t xml:space="preserve">9. Какими   </w:t>
      </w:r>
      <w:proofErr w:type="gramStart"/>
      <w:r>
        <w:t>государственными  и</w:t>
      </w:r>
      <w:proofErr w:type="gramEnd"/>
      <w:r>
        <w:t xml:space="preserve">  ведомственными   (отраслевыми)   наградами</w:t>
      </w:r>
    </w:p>
    <w:p w:rsidR="00F02FCA" w:rsidRDefault="00F02FCA">
      <w:pPr>
        <w:pStyle w:val="ConsPlusNonformat"/>
        <w:jc w:val="both"/>
      </w:pPr>
      <w:r>
        <w:t>награжден(а), даты награждения ____________________________________________</w:t>
      </w:r>
    </w:p>
    <w:p w:rsidR="00F02FCA" w:rsidRDefault="00F02FCA">
      <w:pPr>
        <w:pStyle w:val="ConsPlusNonformat"/>
        <w:jc w:val="both"/>
      </w:pPr>
      <w:r>
        <w:t>10. Стаж работы: общий ____________, в сфере 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                             (указать конкретную сферу</w:t>
      </w:r>
    </w:p>
    <w:p w:rsidR="00F02FCA" w:rsidRDefault="00F02FCA">
      <w:pPr>
        <w:pStyle w:val="ConsPlusNonformat"/>
        <w:jc w:val="both"/>
      </w:pPr>
      <w:r>
        <w:t xml:space="preserve">                                                     деятельности)</w:t>
      </w:r>
    </w:p>
    <w:p w:rsidR="00F02FCA" w:rsidRDefault="00F02FCA">
      <w:pPr>
        <w:pStyle w:val="ConsPlusNonformat"/>
        <w:jc w:val="both"/>
      </w:pPr>
      <w:r>
        <w:t>11. Стаж работы в данной организации (органе) _____________________________</w:t>
      </w:r>
    </w:p>
    <w:p w:rsidR="00F02FCA" w:rsidRDefault="00F02FCA">
      <w:pPr>
        <w:pStyle w:val="ConsPlusNonformat"/>
        <w:jc w:val="both"/>
      </w:pPr>
      <w:r>
        <w:t>12. Характеристика с указанием конкретных заслуг представляемого к награде.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r>
        <w:t>Кандидатура рекомендована &lt;3&gt;</w:t>
      </w:r>
    </w:p>
    <w:p w:rsidR="00F02FCA" w:rsidRDefault="00F02FCA">
      <w:pPr>
        <w:pStyle w:val="ConsPlusNonformat"/>
        <w:jc w:val="both"/>
      </w:pPr>
      <w:r>
        <w:t>___________________________________________________________________________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(наименование коллегиального органа организации (органа),</w:t>
      </w:r>
    </w:p>
    <w:p w:rsidR="00F02FCA" w:rsidRDefault="00F02FCA">
      <w:pPr>
        <w:pStyle w:val="ConsPlusNonformat"/>
        <w:jc w:val="both"/>
      </w:pPr>
      <w:r>
        <w:t>___________________________________________________________________________</w:t>
      </w:r>
    </w:p>
    <w:p w:rsidR="00F02FCA" w:rsidRDefault="00F02FCA">
      <w:pPr>
        <w:pStyle w:val="ConsPlusNonformat"/>
        <w:jc w:val="both"/>
      </w:pPr>
      <w:r>
        <w:t xml:space="preserve">                         дата обсуждения, N протокола)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r>
        <w:t xml:space="preserve">  Руководитель организации (</w:t>
      </w:r>
      <w:proofErr w:type="gramStart"/>
      <w:r>
        <w:t xml:space="preserve">органа)   </w:t>
      </w:r>
      <w:proofErr w:type="gramEnd"/>
      <w:r>
        <w:t xml:space="preserve">                      Секретарь</w:t>
      </w:r>
    </w:p>
    <w:p w:rsidR="00F02FCA" w:rsidRDefault="00F02FCA">
      <w:pPr>
        <w:pStyle w:val="ConsPlusNonformat"/>
        <w:jc w:val="both"/>
      </w:pPr>
      <w:r>
        <w:t xml:space="preserve">                                                      коллегиального органа</w:t>
      </w:r>
    </w:p>
    <w:p w:rsidR="00F02FCA" w:rsidRDefault="00F02FCA">
      <w:pPr>
        <w:pStyle w:val="ConsPlusNonformat"/>
        <w:jc w:val="both"/>
      </w:pPr>
      <w:r>
        <w:t xml:space="preserve">                                                      организации </w:t>
      </w:r>
      <w:hyperlink w:anchor="P318">
        <w:r>
          <w:rPr>
            <w:color w:val="0000FF"/>
          </w:rPr>
          <w:t>&lt;1&gt;</w:t>
        </w:r>
      </w:hyperlink>
    </w:p>
    <w:p w:rsidR="00F02FCA" w:rsidRDefault="00F02FCA">
      <w:pPr>
        <w:pStyle w:val="ConsPlusNonformat"/>
        <w:jc w:val="both"/>
      </w:pPr>
      <w:r>
        <w:t xml:space="preserve">                                                      (указывается, какого,</w:t>
      </w:r>
    </w:p>
    <w:p w:rsidR="00F02FCA" w:rsidRDefault="00F02FCA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например</w:t>
      </w:r>
      <w:proofErr w:type="gramEnd"/>
      <w:r>
        <w:t xml:space="preserve"> ученого</w:t>
      </w:r>
    </w:p>
    <w:p w:rsidR="00F02FCA" w:rsidRDefault="00F02FCA">
      <w:pPr>
        <w:pStyle w:val="ConsPlusNonformat"/>
        <w:jc w:val="both"/>
      </w:pPr>
      <w:r>
        <w:t xml:space="preserve">                                                      совета)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r>
        <w:t>_______________/____________________    ______________/____________________</w:t>
      </w:r>
    </w:p>
    <w:p w:rsidR="00F02FCA" w:rsidRDefault="00F02FCA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(Фамилия, инициалы)     (подпись)      (Фамилия, инициалы)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r>
        <w:t xml:space="preserve">    М.П.</w:t>
      </w:r>
    </w:p>
    <w:p w:rsidR="00F02FCA" w:rsidRDefault="00F02FCA">
      <w:pPr>
        <w:pStyle w:val="ConsPlusNonformat"/>
        <w:jc w:val="both"/>
      </w:pPr>
    </w:p>
    <w:p w:rsidR="00F02FCA" w:rsidRDefault="00F02FCA">
      <w:pPr>
        <w:pStyle w:val="ConsPlusNonformat"/>
        <w:jc w:val="both"/>
      </w:pPr>
      <w:r>
        <w:t>"__"________________20__ года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ind w:firstLine="540"/>
        <w:jc w:val="both"/>
      </w:pPr>
      <w:r>
        <w:t>--------------------------------</w:t>
      </w:r>
    </w:p>
    <w:p w:rsidR="00F02FCA" w:rsidRDefault="00F02FCA">
      <w:pPr>
        <w:pStyle w:val="ConsPlusNormal"/>
        <w:spacing w:before="220"/>
        <w:ind w:firstLine="540"/>
        <w:jc w:val="both"/>
      </w:pPr>
      <w:bookmarkStart w:id="13" w:name="P318"/>
      <w:bookmarkEnd w:id="13"/>
      <w:r>
        <w:t xml:space="preserve">&lt;1&gt; Не заполняется в случае представления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Федерации, Федеральной службы по надзору </w:t>
      </w:r>
      <w:r>
        <w:lastRenderedPageBreak/>
        <w:t>в сфере образования и науки, Федерального агентства по делам молодежи, федеральных государственных служащих и работников иных федеральных государственных органов.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right"/>
        <w:outlineLvl w:val="0"/>
      </w:pPr>
      <w:r>
        <w:t>Приложение 2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right"/>
      </w:pPr>
      <w:r>
        <w:t>Утверждено</w:t>
      </w:r>
    </w:p>
    <w:p w:rsidR="00F02FCA" w:rsidRDefault="00F02FCA">
      <w:pPr>
        <w:pStyle w:val="ConsPlusNormal"/>
        <w:jc w:val="right"/>
      </w:pPr>
      <w:r>
        <w:t>приказом Министерства просвещения</w:t>
      </w:r>
    </w:p>
    <w:p w:rsidR="00F02FCA" w:rsidRDefault="00F02FCA">
      <w:pPr>
        <w:pStyle w:val="ConsPlusNormal"/>
        <w:jc w:val="right"/>
      </w:pPr>
      <w:r>
        <w:t>Российской Федерации</w:t>
      </w:r>
    </w:p>
    <w:p w:rsidR="00F02FCA" w:rsidRDefault="00F02FCA">
      <w:pPr>
        <w:pStyle w:val="ConsPlusNormal"/>
        <w:jc w:val="right"/>
      </w:pPr>
      <w:r>
        <w:t>от 1 июля 2021 г. N 400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Title"/>
        <w:jc w:val="center"/>
      </w:pPr>
      <w:bookmarkStart w:id="14" w:name="P331"/>
      <w:bookmarkEnd w:id="14"/>
      <w:r>
        <w:t>ОПИСАНИЕ</w:t>
      </w:r>
    </w:p>
    <w:p w:rsidR="00F02FCA" w:rsidRDefault="00F02FCA">
      <w:pPr>
        <w:pStyle w:val="ConsPlusTitle"/>
        <w:jc w:val="center"/>
      </w:pPr>
      <w:r>
        <w:t>ВЕДОМСТВЕННЫХ НАГРАД МИНИСТЕРСТВА ПРОСВЕЩЕНИЯ</w:t>
      </w:r>
    </w:p>
    <w:p w:rsidR="00F02FCA" w:rsidRDefault="00F02FCA">
      <w:pPr>
        <w:pStyle w:val="ConsPlusTitle"/>
        <w:jc w:val="center"/>
      </w:pPr>
      <w:r>
        <w:t>РОССИЙСКОЙ ФЕДЕРАЦИИ</w:t>
      </w:r>
    </w:p>
    <w:p w:rsidR="00F02FCA" w:rsidRDefault="00F02F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F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25.09.2023 </w:t>
            </w:r>
            <w:hyperlink r:id="rId37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,</w:t>
            </w:r>
          </w:p>
          <w:p w:rsidR="00F02FCA" w:rsidRDefault="00F02F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38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 xml:space="preserve">, от 17.02.2025 </w:t>
            </w:r>
            <w:hyperlink r:id="rId39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FCA" w:rsidRDefault="00F02FCA">
            <w:pPr>
              <w:pStyle w:val="ConsPlusNormal"/>
            </w:pPr>
          </w:p>
        </w:tc>
      </w:tr>
    </w:tbl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ind w:firstLine="540"/>
        <w:jc w:val="both"/>
      </w:pPr>
      <w:r>
        <w:t>1. Медаль К.Д. Ушинского имеет форму правильного круга диаметром 27 мм, толщиной 2 мм, с выпуклым бортиком с обеих сторон высотой 0,5 мм и шириной 1 мм.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На лицевой стороне медали прямое рельефно-графическое </w:t>
      </w:r>
      <w:proofErr w:type="spellStart"/>
      <w:r>
        <w:t>погрудное</w:t>
      </w:r>
      <w:proofErr w:type="spellEnd"/>
      <w:r>
        <w:t xml:space="preserve"> изображение К.Д. Ушинского. По окружности медали, в нижней части - рельефная надпись заглавными буквами "КОНСТАНТИН УШИНСКИЙ", в центре с левой стороны от изображения К.Д. Ушинского - "1824 г.", справа от изображения - "1871 г.".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 оборотной стороне в центре - выпуклыми заглавными буквами в четыре строки надпись "ЗА ЗАСЛУГИ В ОБЛАСТИ ПЕДАГОГИЧЕСКИХ НАУК", снизу - лавровая ветвь.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окаймлены синей полоской шириной 1 мм.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Выполняется медаль из серебра.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2. Медаль Л.С. Выготского имеет форму правильного круга диаметром 27 мм с выпуклым бортиком с обеих сторон высотой 0,5 мм и шириной 1 мм.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 лицевой стороне медали - прямое рельефно-графическое изображение портрета Л.С. Выготского; по окружности медали, начиная с правой стороны - рельефная надпись заглавными буквами "ЛЕВ СЕМЕНОВИЧ ВЫГОТСКИЙ" и годы его жизни "1896 - 1934".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На оборотной стороне по кругу - надпись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НАУК", </w:t>
      </w:r>
      <w:proofErr w:type="gramStart"/>
      <w:r>
        <w:t>снизу вверх</w:t>
      </w:r>
      <w:proofErr w:type="gramEnd"/>
      <w:r>
        <w:t xml:space="preserve"> по окружности направо и налево - по одной лавровой ветви.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- две </w:t>
      </w:r>
      <w:r>
        <w:lastRenderedPageBreak/>
        <w:t>вертикальные поперечные синие полоски шириной 3 мм, разделяемые белой полоской в 1 мм. Боковые края ленты окаймлены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3. Нагрудный знак к почетному званию "Почетный работник сферы образования Российской Федерации" (далее - знак) представляет собой овальный золотистый пальмовый венок. В нижней части венка расположены скрещенные по диагонали серебристые свиток и перо. Поле венка имеет </w:t>
      </w:r>
      <w:proofErr w:type="spellStart"/>
      <w:r>
        <w:t>штралы</w:t>
      </w:r>
      <w:proofErr w:type="spellEnd"/>
      <w:r>
        <w:t xml:space="preserve"> (сияние), исходящие из его центра, и покрыто синей эмалью. В поле венка надпись серебристыми буквами в четыре строки: "ПОЧЕТНЫЙ РАБОТНИК СФЕРЫ ОБРАЗОВАНИЯ".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Высота знака - 30 мм, ширина - 27 мм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4. Нагрудный знак к почетному званию "Почетный работник сферы воспитания детей и молодежи Российской Федерации" (далее - знак) представляет собой овальный золотистый пальмовый венок. В нижней части венка расположены скрещенные по диагонали серебристые свиток и перо. Поле венка имеет </w:t>
      </w:r>
      <w:proofErr w:type="spellStart"/>
      <w:r>
        <w:t>штралы</w:t>
      </w:r>
      <w:proofErr w:type="spellEnd"/>
      <w:r>
        <w:t xml:space="preserve"> (сияние), исходящие из его центра, и покрыто синей эмалью. В поле венка надпись серебристыми буквами в шесть строк: "ПОЧЕТНЫЙ РАБОТНИК СФЕРЫ ВОСПИТАНИЯ ДЕТЕЙ И МОЛОДЕЖИ".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Высота знака - 30 мм, ширина - 27 мм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5. Нагрудный знак "За милосердие и благотворительность" имеет форму круга диаметром 27 мм, толщиной 2 мм с выпуклым бортиком с обеих сторон высотой 0,5 мм и шириной 1 мм, сверху от окружности знака полоса шириной 4 мм, длиной 3/4 окружности, с бортиком 0,5 мм, высотой 0,5 мм, в полосе выпуклая надпись заглавными буквами "ЗА МИЛОСЕРДИЕ И БЛАГОТВОРИТЕЛЬНОСТЬ".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 лицевой стороне знака анфасное рельефно-графическое изображение улыбающихся лиц девочки с прической до плеч и мальчика с пробором на левой стороне.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 оборотной стороне знака выпуклая надпись заглавными буквами в четыре строки "МИНИСТЕРСТВО ПРОСВЕЩЕНИЯ РОССИЙСКОЙ ФЕДЕРАЦИИ".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Нагрудный знак при помощи ушка и кольца соединяется с прямоугольной колодкой размером 25 мм на 15 мм и обтянутой белой шелковой муаровой лентой. Боковые края ленты окаймлены синей поперечной полоской шириной 3 мм на расстоянии 1 мм от краев, в середине - одна поперечная полоска шириной 3 мм. Снизу колодки - рельефное изображение лавровых ветвей. Оборотная сторона колодки чистая.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6. Нагрудный знак "Почетный наставник"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"ПОЧЕТНЫЙ НАСТАВНИК". Начало и конец надписи разделены декоративной рельефной точкой. В поле медальона, покрытом синей эмалью, изображение вертикально поставленной кисти руки с разомкнутыми пальцами. Начало и конец надписи разделены золотистой декоративной рельефной точкой. На ладонь синего цвета наложена серебристая ладонь меньшего размера.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lastRenderedPageBreak/>
        <w:t>7. Нагрудный знак "За верность профессии"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"ЗА ВЕРНОСТЬ ПРОФЕССИИ". Начало и конец надписи разделены золотистой декоративной рельефной точкой. Поле медальона покрыто красной эмалью. В центре поля - золотистое изображение пеликана, кормящего своей кровью птенцов.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8. Нагрудный знак "Молодость и профессионализм"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"МОЛОДОСТЬ И ПРОФЕССИОНАЛИЗМ". Начало и конец надписи разделены золотистой декоративной рельефной точкой. Поле медальона покрыто красной эмалью. В центре поля - золотистая академическая </w:t>
      </w:r>
      <w:proofErr w:type="spellStart"/>
      <w:r>
        <w:t>четырехуголка</w:t>
      </w:r>
      <w:proofErr w:type="spellEnd"/>
      <w:r>
        <w:t>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9. Почетная грамота изготавливается на матовой бумаге формата А3 плотностью не менее 180 г. на кв. м. Расположение горизонтальное с </w:t>
      </w:r>
      <w:proofErr w:type="spellStart"/>
      <w:r>
        <w:t>бигованием</w:t>
      </w:r>
      <w:proofErr w:type="spellEnd"/>
      <w:r>
        <w:t xml:space="preserve"> посередине.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 лицевой стороне изображена цветная эмблема Министерства просвещения Российской Федерации (далее - Министерство). Под эмблемой надпись желтыми (золотистыми) буквами в две строки: "ПОЧЕТНАЯ/ ГРАМОТА". Вокруг страницы тонкая кайма красного цвета.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 левой странице разворота - цветное изображение эмблемы Министерства и под ней - надпись желтыми (золотистыми) буквами в четыре строки: "МИНИСТЕРСТВО/ ПРОСВЕЩЕНИЯ/ РОССИЙСКОЙ/ ФЕДЕРАЦИИ".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На правой странице разворота - вверху надпись в две строки желтыми (золотистыми) буквами: "ПОЧЕТНАЯ/ ГРАМОТА". Под надписью - слово красными буквами: "НАГРАЖДАЕТСЯ". Ниже - фоновый рисунок эмблемы Министерства.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Обе страницы разворота имеют декоративную рамку, с орнаментально оформленными углами. Рамка и углы - желтого (золотистого) цвета.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Обе страницы украшены </w:t>
      </w:r>
      <w:proofErr w:type="spellStart"/>
      <w:r>
        <w:t>конгревом</w:t>
      </w:r>
      <w:proofErr w:type="spellEnd"/>
      <w:r>
        <w:t xml:space="preserve">, сетка которого красного и серого цветов. </w:t>
      </w:r>
      <w:proofErr w:type="spellStart"/>
      <w:r>
        <w:t>Конгрев</w:t>
      </w:r>
      <w:proofErr w:type="spellEnd"/>
      <w:r>
        <w:t xml:space="preserve"> формирует концентрические волнистые "круги", расходящиеся от центра страницы.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10. Ведомственный знак Министерства просвещения Российской Федерации "За содействие" (далее - ведомственный знак) представляет собой двуглавого орла серебряного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щите красного цвета всадник золотого цвета в плаще, едущий на коне золотого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золотого цвета. Ведомственный знак может выполняться в двух размерных вариантах со сторонами: высота 28 мм, ширина 23 </w:t>
      </w:r>
      <w:proofErr w:type="gramStart"/>
      <w:r>
        <w:t>мм</w:t>
      </w:r>
      <w:proofErr w:type="gramEnd"/>
      <w:r>
        <w:t xml:space="preserve"> и высота 28 мм, ширина 34 мм. Оборотная сторона имеет крепление цанга-бабочка.</w:t>
      </w:r>
    </w:p>
    <w:p w:rsidR="00F02FCA" w:rsidRDefault="00F02FCA">
      <w:pPr>
        <w:pStyle w:val="ConsPlusNormal"/>
        <w:jc w:val="both"/>
      </w:pPr>
      <w:r>
        <w:t xml:space="preserve">(п. 10 в ред. </w:t>
      </w:r>
      <w:hyperlink r:id="rId4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04.12.2024 N 850)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 xml:space="preserve">11. Ведомственный знак Министерства просвещения Российской Федерации "100-летие МДЦ "Артек" (далее - знак) изготавливается в виде стилизованного костра с тремя языками пламени </w:t>
      </w:r>
      <w:r>
        <w:lastRenderedPageBreak/>
        <w:t>желто-красного цвета с градиентом, заключенными в обрамление золотистого цвета. Под изображением костра на золотистом фигурном основании размещена надпись в две строки: на первой - "Артек", на второй - "на все 100". Между первой и второй строкой в виде слегка изогнутой дуги располагается тонкая лента цветов российского государственного флага. Лента имеет расширенный край слева и сужается по направлению вправо.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Знак имеет размер сторон: высота 32 мм, длина 32 мм.</w:t>
      </w:r>
    </w:p>
    <w:p w:rsidR="00F02FCA" w:rsidRDefault="00F02FCA">
      <w:pPr>
        <w:pStyle w:val="ConsPlusNormal"/>
        <w:spacing w:before="220"/>
        <w:ind w:firstLine="540"/>
        <w:jc w:val="both"/>
      </w:pPr>
      <w:r>
        <w:t>Оборотная сторона знака имеет крепление цанга-бабочка.</w:t>
      </w:r>
    </w:p>
    <w:p w:rsidR="00F02FCA" w:rsidRDefault="00F02FCA">
      <w:pPr>
        <w:pStyle w:val="ConsPlusNormal"/>
        <w:jc w:val="both"/>
      </w:pPr>
      <w:r>
        <w:t xml:space="preserve">(п. 11 введен </w:t>
      </w:r>
      <w:hyperlink r:id="rId4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110)</w:t>
      </w: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jc w:val="both"/>
      </w:pPr>
    </w:p>
    <w:p w:rsidR="00F02FCA" w:rsidRDefault="00F02F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763" w:rsidRDefault="00B05763"/>
    <w:sectPr w:rsidR="00B05763" w:rsidSect="00DA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CA"/>
    <w:rsid w:val="00351ACF"/>
    <w:rsid w:val="00B05763"/>
    <w:rsid w:val="00F0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A3D8A-8968-48F7-8DE8-26809CC1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F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2F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F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6594&amp;dst=100010" TargetMode="External"/><Relationship Id="rId18" Type="http://schemas.openxmlformats.org/officeDocument/2006/relationships/hyperlink" Target="https://login.consultant.ru/link/?req=doc&amp;base=RZR&amp;n=501072&amp;dst=100018" TargetMode="External"/><Relationship Id="rId26" Type="http://schemas.openxmlformats.org/officeDocument/2006/relationships/hyperlink" Target="https://login.consultant.ru/link/?req=doc&amp;base=RZR&amp;n=460484&amp;dst=100030" TargetMode="External"/><Relationship Id="rId39" Type="http://schemas.openxmlformats.org/officeDocument/2006/relationships/hyperlink" Target="https://login.consultant.ru/link/?req=doc&amp;base=RZR&amp;n=501072&amp;dst=100031" TargetMode="External"/><Relationship Id="rId21" Type="http://schemas.openxmlformats.org/officeDocument/2006/relationships/hyperlink" Target="https://login.consultant.ru/link/?req=doc&amp;base=RZR&amp;n=460484&amp;dst=100025" TargetMode="External"/><Relationship Id="rId34" Type="http://schemas.openxmlformats.org/officeDocument/2006/relationships/hyperlink" Target="https://login.consultant.ru/link/?req=doc&amp;base=RZR&amp;n=460484&amp;dst=10003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501072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60484&amp;dst=100015" TargetMode="External"/><Relationship Id="rId20" Type="http://schemas.openxmlformats.org/officeDocument/2006/relationships/hyperlink" Target="https://login.consultant.ru/link/?req=doc&amp;base=RZR&amp;n=501072&amp;dst=100020" TargetMode="External"/><Relationship Id="rId29" Type="http://schemas.openxmlformats.org/officeDocument/2006/relationships/hyperlink" Target="https://login.consultant.ru/link/?req=doc&amp;base=RZR&amp;n=496594&amp;dst=100014" TargetMode="External"/><Relationship Id="rId41" Type="http://schemas.openxmlformats.org/officeDocument/2006/relationships/hyperlink" Target="https://login.consultant.ru/link/?req=doc&amp;base=RZR&amp;n=501072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6594&amp;dst=100006" TargetMode="External"/><Relationship Id="rId11" Type="http://schemas.openxmlformats.org/officeDocument/2006/relationships/hyperlink" Target="https://login.consultant.ru/link/?req=doc&amp;base=RZR&amp;n=325252" TargetMode="External"/><Relationship Id="rId24" Type="http://schemas.openxmlformats.org/officeDocument/2006/relationships/hyperlink" Target="https://login.consultant.ru/link/?req=doc&amp;base=RZR&amp;n=501072&amp;dst=100024" TargetMode="External"/><Relationship Id="rId32" Type="http://schemas.openxmlformats.org/officeDocument/2006/relationships/hyperlink" Target="https://login.consultant.ru/link/?req=doc&amp;base=RZR&amp;n=496594&amp;dst=100018" TargetMode="External"/><Relationship Id="rId37" Type="http://schemas.openxmlformats.org/officeDocument/2006/relationships/hyperlink" Target="https://login.consultant.ru/link/?req=doc&amp;base=RZR&amp;n=460484&amp;dst=100037" TargetMode="External"/><Relationship Id="rId40" Type="http://schemas.openxmlformats.org/officeDocument/2006/relationships/hyperlink" Target="https://login.consultant.ru/link/?req=doc&amp;base=RZR&amp;n=496594&amp;dst=100021" TargetMode="External"/><Relationship Id="rId5" Type="http://schemas.openxmlformats.org/officeDocument/2006/relationships/hyperlink" Target="https://login.consultant.ru/link/?req=doc&amp;base=RZR&amp;n=460484&amp;dst=100006" TargetMode="External"/><Relationship Id="rId15" Type="http://schemas.openxmlformats.org/officeDocument/2006/relationships/hyperlink" Target="https://login.consultant.ru/link/?req=doc&amp;base=RZR&amp;n=460484&amp;dst=100013" TargetMode="External"/><Relationship Id="rId23" Type="http://schemas.openxmlformats.org/officeDocument/2006/relationships/hyperlink" Target="https://login.consultant.ru/link/?req=doc&amp;base=RZR&amp;n=460484&amp;dst=100027" TargetMode="External"/><Relationship Id="rId28" Type="http://schemas.openxmlformats.org/officeDocument/2006/relationships/hyperlink" Target="https://login.consultant.ru/link/?req=doc&amp;base=RZR&amp;n=501072&amp;dst=100028" TargetMode="External"/><Relationship Id="rId36" Type="http://schemas.openxmlformats.org/officeDocument/2006/relationships/hyperlink" Target="https://login.consultant.ru/link/?req=doc&amp;base=RZR&amp;n=460484&amp;dst=100035" TargetMode="External"/><Relationship Id="rId10" Type="http://schemas.openxmlformats.org/officeDocument/2006/relationships/hyperlink" Target="https://login.consultant.ru/link/?req=doc&amp;base=RZR&amp;n=501072&amp;dst=100011" TargetMode="External"/><Relationship Id="rId19" Type="http://schemas.openxmlformats.org/officeDocument/2006/relationships/hyperlink" Target="https://login.consultant.ru/link/?req=doc&amp;base=RZR&amp;n=460484&amp;dst=100021" TargetMode="External"/><Relationship Id="rId31" Type="http://schemas.openxmlformats.org/officeDocument/2006/relationships/hyperlink" Target="https://login.consultant.ru/link/?req=doc&amp;base=RZR&amp;n=496594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60484&amp;dst=100010" TargetMode="External"/><Relationship Id="rId14" Type="http://schemas.openxmlformats.org/officeDocument/2006/relationships/hyperlink" Target="https://login.consultant.ru/link/?req=doc&amp;base=RZR&amp;n=501072&amp;dst=100013" TargetMode="External"/><Relationship Id="rId22" Type="http://schemas.openxmlformats.org/officeDocument/2006/relationships/hyperlink" Target="https://login.consultant.ru/link/?req=doc&amp;base=RZR&amp;n=501072&amp;dst=100023" TargetMode="External"/><Relationship Id="rId27" Type="http://schemas.openxmlformats.org/officeDocument/2006/relationships/hyperlink" Target="https://login.consultant.ru/link/?req=doc&amp;base=RZR&amp;n=501072&amp;dst=100027" TargetMode="External"/><Relationship Id="rId30" Type="http://schemas.openxmlformats.org/officeDocument/2006/relationships/hyperlink" Target="https://login.consultant.ru/link/?req=doc&amp;base=RZR&amp;n=496594&amp;dst=100016" TargetMode="External"/><Relationship Id="rId35" Type="http://schemas.openxmlformats.org/officeDocument/2006/relationships/hyperlink" Target="https://login.consultant.ru/link/?req=doc&amp;base=RZR&amp;n=501072&amp;dst=10003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499281&amp;dst=1001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60484&amp;dst=100012" TargetMode="External"/><Relationship Id="rId17" Type="http://schemas.openxmlformats.org/officeDocument/2006/relationships/hyperlink" Target="https://login.consultant.ru/link/?req=doc&amp;base=RZR&amp;n=501072&amp;dst=100014" TargetMode="External"/><Relationship Id="rId25" Type="http://schemas.openxmlformats.org/officeDocument/2006/relationships/hyperlink" Target="https://login.consultant.ru/link/?req=doc&amp;base=RZR&amp;n=496594&amp;dst=100011" TargetMode="External"/><Relationship Id="rId33" Type="http://schemas.openxmlformats.org/officeDocument/2006/relationships/hyperlink" Target="https://login.consultant.ru/link/?req=doc&amp;base=RZR&amp;n=496594&amp;dst=100019" TargetMode="External"/><Relationship Id="rId38" Type="http://schemas.openxmlformats.org/officeDocument/2006/relationships/hyperlink" Target="https://login.consultant.ru/link/?req=doc&amp;base=RZR&amp;n=496594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7120</Words>
  <Characters>40590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1</cp:revision>
  <dcterms:created xsi:type="dcterms:W3CDTF">2025-12-26T10:02:00Z</dcterms:created>
  <dcterms:modified xsi:type="dcterms:W3CDTF">2025-12-26T10:31:00Z</dcterms:modified>
</cp:coreProperties>
</file>